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il patrimonio lessicale ed espressivo della lingua italiana secondo le esigenze comunicative nei vari contesti: sociali, culturali, scientifici, economici, tecnologici (</w:t>
            </w:r>
            <w:r w:rsidDel="00000000" w:rsidR="00000000" w:rsidRPr="00000000">
              <w:rPr>
                <w:rFonts w:ascii="Calibri" w:cs="Calibri" w:eastAsia="Calibri" w:hAnsi="Calibri"/>
                <w:i w:val="1"/>
                <w:rtl w:val="0"/>
              </w:rPr>
              <w:t xml:space="preserve">comunicazione nella lingua madre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utilizzare e produrre strumenti di comunicazione visiva e multimediale, anche con riferimento alle strategie espressive e agli strumenti tecnici della comunicazione in rete (</w:t>
            </w:r>
            <w:r w:rsidDel="00000000" w:rsidR="00000000" w:rsidRPr="00000000">
              <w:rPr>
                <w:rFonts w:ascii="Calibri" w:cs="Calibri" w:eastAsia="Calibri" w:hAnsi="Calibri"/>
                <w:i w:val="1"/>
                <w:rtl w:val="0"/>
              </w:rPr>
              <w:t xml:space="preserve">competenza digitale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gli strumenti culturali e metodologici per porsi con atteggiamento razionale, critico e responsabile di fronte alla realtà, ai suoi fenomeni, ai suoi problemi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 comp</w:t>
            </w:r>
            <w:r w:rsidDel="00000000" w:rsidR="00000000" w:rsidRPr="00000000">
              <w:rPr>
                <w:rFonts w:ascii="Calibri" w:cs="Calibri" w:eastAsia="Calibri" w:hAnsi="Calibri"/>
                <w:i w:val="1"/>
                <w:rtl w:val="0"/>
              </w:rPr>
              <w:t xml:space="preserve">etenze sociali e civiche/risolvere problemi; agire in modo autonomo e responsabile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Produrre testi scritti di vario tipo anche con registri formali e linguaggi specifici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 comunicazione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Modalità della comunicazione nel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base di composizione dei testi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Repertorio di tipologie di testi, compresa la relazione tecnica di laboratorio</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Ideare e realizzare prodotti multimediali in rapporto a tematiche di vita, di studio.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le tecniche di documentazione e scambio di informazioni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software applicativi</w:t>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Componenti strutturali e tecniche espressive di un prodotto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Applicazioni per l’elaborazione digitale audio 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Caratteri e condizioni di accesso e utilizzo della comunicazione in rete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in materia di privacy e di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applicativo per la progettazione e il disegno tecnico</w:t>
            </w:r>
          </w:p>
        </w:tc>
      </w:tr>
      <w:tr>
        <w:tc>
          <w:tcPr>
            <w:gridSpan w:val="2"/>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Ricavare da fonti diverse (scritte, Internet …..), informazioni utili per i propri scopi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(per la preparazione di un’esposizione o per sostenere il proprio punto di vista)</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Confrontare le informazioni provenienti da fonti diverse; selezionarle criticamente in base all’attendibilità, alla funzione, al proprio scopo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Regolare i propri percorsi di azione in base ai feed back interni/esterni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Utilizzare strategie di autocorrezione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Progettare, monitorare e valutare un proprio percorso di studio/lavoro (pianificare), tenendo conto delle priorità, dei tempi, delle risorse a disposizione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Organizzare le informazioni ai fini della diffusione e della redazione di relazioni,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report, presentazioni, utilizzando anche strumenti tecnologici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Inquadrare storicamente l’evoluzione della coscienza e delle pratiche sociali in materia di salute, sicurezza e ricondurla all’esperienza concreta nella vita sociale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Analizzare la normativa europea e nazionale e in materia di salute, sicurezza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assolvere e portare a termine con precisione, cura e responsabilità i compiti affidati o intrapresi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autonomamente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Metodologie e strumenti di ricerca dell’informazione: bibliografie,schedari, dizionari, indici, motori di ricerca, testimonianze, reperti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Metodologie e strumenti di organizzazione delle informazioni: sintesi, scalette, grafici, tabelle, diagrammi, mappe concettuali</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Strategie di autoregolazione e di organizzazione del tempo, delle priorità, delle risorse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europee ed italiane in materia di salute, sicurezza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e igiene negli ambienti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degli istituti professionali settore servizi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Partecipazione al laboratorio di produzione video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b w:val="1"/>
                <w:i w:val="0"/>
                <w:smallCaps w:val="0"/>
                <w:strike w:val="0"/>
                <w:color w:val="ff9900"/>
                <w:shd w:fill="auto" w:val="clear"/>
              </w:rPr>
            </w:pPr>
            <w:r w:rsidDel="00000000" w:rsidR="00000000" w:rsidRPr="00000000">
              <w:rPr>
                <w:rFonts w:ascii="Calibri" w:cs="Calibri" w:eastAsia="Calibri" w:hAnsi="Calibri"/>
                <w:b w:val="1"/>
                <w:i w:val="0"/>
                <w:smallCaps w:val="0"/>
                <w:strike w:val="0"/>
                <w:color w:val="ff9900"/>
                <w:u w:val="none"/>
                <w:shd w:fill="auto" w:val="clear"/>
                <w:vertAlign w:val="baseline"/>
                <w:rtl w:val="0"/>
              </w:rPr>
              <w:t xml:space="preserve">Laboratorio per l’apprendimento delle tecniche di realizzazione di video (si veda programma allegato)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6"/>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b w:val="1"/>
                <w:i w:val="1"/>
                <w:color w:val="ff9900"/>
                <w:rtl w:val="0"/>
              </w:rPr>
              <w:t xml:space="preserve">Partecipazione al laboratorio di produzione video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GRIGLIA DI VALUTAZIONE</w:t>
      </w: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