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il patrimonio lessicale ed espressivo della lingua italiana secondo le esigenze comunicative nei vari contesti: sociali, culturali, scientifici, economici, tecnologici (</w:t>
            </w:r>
            <w:r w:rsidDel="00000000" w:rsidR="00000000" w:rsidRPr="00000000">
              <w:rPr>
                <w:rFonts w:ascii="Calibri" w:cs="Calibri" w:eastAsia="Calibri" w:hAnsi="Calibri"/>
                <w:i w:val="1"/>
                <w:rtl w:val="0"/>
              </w:rPr>
              <w:t xml:space="preserve">comunicazione nella lingua madre/comunicare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e produrre strumenti di comunicazione visiva e multimediale, anche con riferimento alle strategie espressive e agli strumenti tecnici della comunicazione in rete (</w:t>
            </w:r>
            <w:r w:rsidDel="00000000" w:rsidR="00000000" w:rsidRPr="00000000">
              <w:rPr>
                <w:rFonts w:ascii="Calibri" w:cs="Calibri" w:eastAsia="Calibri" w:hAnsi="Calibri"/>
                <w:i w:val="1"/>
                <w:rtl w:val="0"/>
              </w:rPr>
              <w:t xml:space="preserve">competenza digitale/comunicare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utilizzare gli strumenti culturali e metodologici per porsi con atteggiamento razionale, critico e responsabile di fronte alla realtà, ai suoi fenomeni, ai suoi problemi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 comp</w:t>
            </w:r>
            <w:r w:rsidDel="00000000" w:rsidR="00000000" w:rsidRPr="00000000">
              <w:rPr>
                <w:rFonts w:ascii="Calibri" w:cs="Calibri" w:eastAsia="Calibri" w:hAnsi="Calibri"/>
                <w:i w:val="1"/>
                <w:rtl w:val="0"/>
              </w:rPr>
              <w:t xml:space="preserve">etenze sociali e civiche/risolvere problemi; agire in modo autonomo e responsabile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Raccogliere e strutturare informazioni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Sostenere conversazioni e dialoghi con precise argomentazioni su tematiche predefinite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Produrre testi scritti di vario tipo anche con registri formali e linguaggi specifici</w:t>
            </w: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 comunicazione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 Modalità della comunicazione nel lavoro cooperativo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Caratteristiche e struttura dei testi specialistici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Tecniche di base di composizione dei testi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Repertorio di tipologie di testi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Struttura di una relazione e di un rapporto</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Ideare e realizzare prodotti multimediali in rapporto a tematiche di vita, di studio, professionali e di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settore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le tecniche di documentazione e scambio di informazioni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Realizzare pagine Web statiche e dinamiche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le tecnologie digitali in funzione della rappresentazione di un progetto o di un prodotto</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Componenti strutturali e tecniche espressive di un prodotto multimediale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Applicazioni per l’elaborazione digitale audio 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Caratteri e condizioni di accesso e utilizzo della comunicazione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Linguaggi del Web (html, css, php, asp…)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in materia di privacy e di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Processo di sviluppo di un ipermedia</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Ricavare da fonti diverse (scritte, Internet …..), informazioni utili per i propri scopi (per la preparazione di un’esposizione o per sostenere il proprio punto di vista)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Confrontare le informazioni provenienti da fonti diverse; selezionarle criticamente in base all’attendibilità, alla funzione, al proprio scopo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Regolare i propri percorsi di azione in base ai feed back interni/esterni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strategie di autocorrezione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Progettare, monitorare e valutare un proprio percorso di studio/lavoro ( pianificare), tenendo conto delle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priorità, dei tempi, delle risorse a disposizione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Contestualizzare le informazioni provenienti da diverse fonti e da diverse aree disciplinari ai campi professionali di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riferimento; utilizzare le informazioni nella pratica quotidiana e nella soluzione di problemi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Organizzare le informazioni ai fini della diffusione e della redazione di relazioni, report, presentazioni, utilizzando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anche strumenti tecnologici</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ricerca dell‟informazione: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bibliografie, schedari, dizionari, indici, motori di ricerca,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testimonianze, reperti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Metodologie e strumenti di organizzazione delle informazioni: sintesi, scalette, grafici, tabelle, diagrammi, mappe concettuali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Strategie di autoregolazione e di organizzazione del tempo, delle priorità, delle risorse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Scienze motorie e sportive, italiano, IRC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degli istituti tecnici economici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Partecipazione al laboratorio di produzione video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Laboratorio per l’apprendimento delle tecniche di realizzazione di video (si veda programma allegato)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Gli insegnanti di scienze motorie, italiano, IRC e inglese valuteranno i prodotti realizzati dagli studenti strumenti di valutazione condivisi con gli studenti al momento della presentazione dell’attività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Per “consegna” si intende </w:t>
      </w:r>
      <w:r w:rsidDel="00000000" w:rsidR="00000000" w:rsidRPr="00000000">
        <w:rPr>
          <w:rFonts w:ascii="Calibri" w:cs="Calibri" w:eastAsia="Calibri" w:hAnsi="Calibri"/>
          <w:i w:val="1"/>
          <w:rtl w:val="0"/>
        </w:rPr>
        <w:t xml:space="preserve">il documento che i docenti promotori dell’UdA presentano agli studenti, sulla base del quale essi partecipano alle attività previste e si attivano realizzando il prodotto nei tempi e nei modi definiti, tenendo presente anche i criteri di valutazione</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numPr>
          <w:ilvl w:val="0"/>
          <w:numId w:val="3"/>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il linguaggio deve essere accessibile, comprensibile, semplice</w:t>
      </w:r>
    </w:p>
    <w:p w:rsidR="00000000" w:rsidDel="00000000" w:rsidP="00000000" w:rsidRDefault="00000000" w:rsidRPr="00000000">
      <w:pPr>
        <w:numPr>
          <w:ilvl w:val="0"/>
          <w:numId w:val="3"/>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000000" w:rsidDel="00000000" w:rsidP="00000000" w:rsidRDefault="00000000" w:rsidRPr="00000000">
      <w:pPr>
        <w:numPr>
          <w:ilvl w:val="0"/>
          <w:numId w:val="3"/>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mette in moto processi di apprendimento che non debbono solo rifluire nel “prodotto”, ma fornire spunti ed agganci per una ripresa dei contenuti attraverso la riflessione, l’esposizione, il consolidamento di quanto appreso.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UNITÀ DI APPRENDIMENTO: La Strada Giusta</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Coordinatore:</w:t>
            </w:r>
            <w:r w:rsidDel="00000000" w:rsidR="00000000" w:rsidRPr="00000000">
              <w:rPr>
                <w:rFonts w:ascii="Calibri" w:cs="Calibri" w:eastAsia="Calibri" w:hAnsi="Calibri"/>
                <w:i w:val="1"/>
                <w:rtl w:val="0"/>
              </w:rPr>
              <w:t xml:space="preserve"> nominativo dell’insegnante di scienze motorie e sportive</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Collaboratori : </w:t>
            </w:r>
            <w:r w:rsidDel="00000000" w:rsidR="00000000" w:rsidRPr="00000000">
              <w:rPr>
                <w:rFonts w:ascii="Calibri" w:cs="Calibri" w:eastAsia="Calibri" w:hAnsi="Calibri"/>
                <w:i w:val="1"/>
                <w:rtl w:val="0"/>
              </w:rPr>
              <w:t xml:space="preserve">nominativo dell’insegnante di IRC e di italiano</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Presentazione dell’attività e assegnazione del compito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documento contenente la consegna agli studenti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Riflessione sull’esperienza degli studenti relativamente ai pericoli della strada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brainstorming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agli incontri con forze dell’ordine, autoscuole, soccorritori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fanno esperienza di quanto proposto dai relatori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secondo calendario del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feedback richiesto agli studenti</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b w:val="1"/>
                <w:i w:val="1"/>
                <w:color w:val="ff9900"/>
                <w:rtl w:val="0"/>
              </w:rPr>
              <w:t xml:space="preserve">Partecipazione al laboratorio di produzione video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dicembre e gennaio e comunque entro la data di scadenza prevista dal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bl>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GRIGLIA DI VALUTAZIONE</w:t>
      </w:r>
      <w:r w:rsidDel="00000000" w:rsidR="00000000" w:rsidRPr="00000000">
        <w:rPr>
          <w:rtl w:val="0"/>
        </w:rPr>
      </w:r>
    </w:p>
    <w:sectPr>
      <w:headerReference r:id="rId5" w:type="default"/>
      <w:footerReference r:id="rId6" w:type="default"/>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